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B74" w:rsidRPr="00AB0B74" w:rsidRDefault="00AB0B74">
      <w:pPr>
        <w:rPr>
          <w:b/>
          <w:bCs/>
          <w:rtl/>
        </w:rPr>
      </w:pPr>
      <w:r w:rsidRPr="00AB0B74">
        <w:rPr>
          <w:rFonts w:hint="cs"/>
          <w:b/>
          <w:bCs/>
          <w:rtl/>
        </w:rPr>
        <w:t xml:space="preserve">הליך: </w:t>
      </w:r>
      <w:r w:rsidRPr="00AB0B74">
        <w:rPr>
          <w:rFonts w:hint="cs"/>
          <w:b/>
          <w:bCs/>
          <w:rtl/>
        </w:rPr>
        <w:tab/>
        <w:t xml:space="preserve">תלה"מ </w:t>
      </w:r>
      <w:bookmarkStart w:id="0" w:name="_GoBack"/>
      <w:r w:rsidRPr="00AB0B74">
        <w:rPr>
          <w:rFonts w:hint="cs"/>
          <w:b/>
          <w:bCs/>
          <w:rtl/>
        </w:rPr>
        <w:t>48921-04-24</w:t>
      </w:r>
      <w:bookmarkEnd w:id="0"/>
    </w:p>
    <w:p w:rsidR="00AB0B74" w:rsidRPr="00AB0B74" w:rsidRDefault="00AB0B74">
      <w:pPr>
        <w:rPr>
          <w:b/>
          <w:bCs/>
          <w:rtl/>
        </w:rPr>
      </w:pPr>
      <w:r w:rsidRPr="00AB0B74">
        <w:rPr>
          <w:rFonts w:hint="cs"/>
          <w:b/>
          <w:bCs/>
          <w:rtl/>
        </w:rPr>
        <w:t>תאריך: 4 נובמבר 2024</w:t>
      </w:r>
    </w:p>
    <w:p w:rsidR="00AB0B74" w:rsidRPr="00AB0B74" w:rsidRDefault="00AB0B74">
      <w:pPr>
        <w:rPr>
          <w:b/>
          <w:bCs/>
          <w:rtl/>
        </w:rPr>
      </w:pPr>
      <w:r w:rsidRPr="00AB0B74">
        <w:rPr>
          <w:rFonts w:hint="cs"/>
          <w:b/>
          <w:bCs/>
          <w:rtl/>
        </w:rPr>
        <w:t xml:space="preserve">שופט: ארז שני </w:t>
      </w:r>
    </w:p>
    <w:p w:rsidR="00AB0B74" w:rsidRDefault="00AB0B74"/>
    <w:tbl>
      <w:tblPr>
        <w:bidiVisual/>
        <w:tblW w:w="0" w:type="auto"/>
        <w:jc w:val="center"/>
        <w:tblLook w:val="04A0" w:firstRow="1" w:lastRow="0" w:firstColumn="1" w:lastColumn="0" w:noHBand="0" w:noVBand="1"/>
      </w:tblPr>
      <w:tblGrid>
        <w:gridCol w:w="1523"/>
        <w:gridCol w:w="6783"/>
      </w:tblGrid>
      <w:tr w:rsidR="00AB0B74" w:rsidTr="00AB0B74">
        <w:trPr>
          <w:trHeight w:val="337"/>
          <w:jc w:val="center"/>
        </w:trPr>
        <w:tc>
          <w:tcPr>
            <w:tcW w:w="1523" w:type="dxa"/>
          </w:tcPr>
          <w:p w:rsidR="00AB0B74" w:rsidRDefault="00AB0B74">
            <w:pPr>
              <w:pStyle w:val="a5"/>
              <w:bidi w:val="0"/>
              <w:spacing w:line="360" w:lineRule="auto"/>
              <w:jc w:val="both"/>
              <w:rPr>
                <w:rFonts w:ascii="Times New Roman" w:hAnsi="Times New Roman"/>
              </w:rPr>
            </w:pPr>
          </w:p>
        </w:tc>
        <w:tc>
          <w:tcPr>
            <w:tcW w:w="6783" w:type="dxa"/>
          </w:tcPr>
          <w:p w:rsidR="00AB0B74" w:rsidRDefault="00AB0B74">
            <w:pPr>
              <w:pStyle w:val="a5"/>
              <w:jc w:val="right"/>
            </w:pPr>
          </w:p>
        </w:tc>
      </w:tr>
    </w:tbl>
    <w:tbl>
      <w:tblPr>
        <w:tblStyle w:val="a4"/>
        <w:bidiVisual/>
        <w:tblW w:w="912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881"/>
      </w:tblGrid>
      <w:tr w:rsidR="00AB0B74" w:rsidTr="00AB0B74">
        <w:tc>
          <w:tcPr>
            <w:tcW w:w="3246" w:type="dxa"/>
          </w:tcPr>
          <w:p w:rsidR="00AB0B74" w:rsidRDefault="00AB0B74">
            <w:pPr>
              <w:suppressLineNumbers/>
              <w:rPr>
                <w:b/>
                <w:bCs/>
                <w:rtl/>
              </w:rPr>
            </w:pPr>
          </w:p>
          <w:p w:rsidR="00AB0B74" w:rsidRDefault="00AB0B74">
            <w:pPr>
              <w:suppressLineNumbers/>
              <w:rPr>
                <w:b/>
                <w:bCs/>
                <w:rtl/>
              </w:rPr>
            </w:pPr>
            <w:r>
              <w:rPr>
                <w:rFonts w:hint="cs"/>
                <w:b/>
                <w:bCs/>
                <w:u w:val="double"/>
                <w:rtl/>
              </w:rPr>
              <w:t>ה</w:t>
            </w:r>
            <w:sdt>
              <w:sdtPr>
                <w:rPr>
                  <w:b/>
                  <w:bCs/>
                  <w:u w:val="double"/>
                  <w:rtl/>
                </w:rPr>
                <w:alias w:val="1264"/>
                <w:tag w:val="1264"/>
                <w:id w:val="748628538"/>
                <w:placeholder>
                  <w:docPart w:val="A9885C594C2F43CBAEDF5A9EF85C4743"/>
                </w:placeholder>
                <w:text w:multiLine="1"/>
              </w:sdtPr>
              <w:sdtEndPr/>
              <w:sdtContent>
                <w:r>
                  <w:rPr>
                    <w:b/>
                    <w:bCs/>
                    <w:u w:val="double"/>
                    <w:rtl/>
                  </w:rPr>
                  <w:t>תובע:</w:t>
                </w:r>
              </w:sdtContent>
            </w:sdt>
          </w:p>
        </w:tc>
        <w:tc>
          <w:tcPr>
            <w:tcW w:w="5881" w:type="dxa"/>
          </w:tcPr>
          <w:p w:rsidR="00AB0B74" w:rsidRDefault="00AB0B74">
            <w:pPr>
              <w:suppressLineNumbers/>
              <w:rPr>
                <w:rFonts w:ascii="Times New Roman" w:eastAsia="Times New Roman" w:hAnsi="Times New Roman" w:cs="Times New Roman"/>
                <w:b/>
                <w:bCs/>
                <w:rtl/>
              </w:rPr>
            </w:pPr>
          </w:p>
          <w:p w:rsidR="00AB0B74" w:rsidRDefault="00AB0B74" w:rsidP="00AB0B74">
            <w:pPr>
              <w:suppressLineNumbers/>
              <w:jc w:val="center"/>
              <w:rPr>
                <w:rtl/>
              </w:rPr>
            </w:pPr>
            <w:r>
              <w:rPr>
                <w:rFonts w:hint="cs"/>
                <w:b/>
                <w:bCs/>
                <w:rtl/>
              </w:rPr>
              <w:t xml:space="preserve">פלוני </w:t>
            </w:r>
            <w:sdt>
              <w:sdtPr>
                <w:rPr>
                  <w:rFonts w:ascii="Times New Roman" w:eastAsia="Times New Roman" w:hAnsi="Times New Roman" w:cs="Times New Roman"/>
                  <w:b/>
                  <w:bCs/>
                  <w:rtl/>
                </w:rPr>
                <w:alias w:val="2686"/>
                <w:tag w:val="2686"/>
                <w:id w:val="-38594229"/>
                <w:placeholder>
                  <w:docPart w:val="CCE4BD7C77EF4CE685CC1288A5416D67"/>
                </w:placeholder>
                <w:text w:multiLine="1"/>
              </w:sdtPr>
              <w:sdtEndPr/>
              <w:sdtContent>
                <w:r>
                  <w:rPr>
                    <w:b/>
                    <w:bCs/>
                    <w:rtl/>
                  </w:rPr>
                  <w:t>ת"ז</w:t>
                </w:r>
              </w:sdtContent>
            </w:sdt>
            <w:r>
              <w:rPr>
                <w:rFonts w:hint="cs"/>
                <w:b/>
                <w:bCs/>
                <w:rtl/>
              </w:rPr>
              <w:t xml:space="preserve"> </w:t>
            </w:r>
            <w:sdt>
              <w:sdtPr>
                <w:rPr>
                  <w:rFonts w:ascii="Times New Roman" w:eastAsia="Times New Roman" w:hAnsi="Times New Roman" w:cs="Times New Roman"/>
                  <w:b/>
                  <w:bCs/>
                  <w:rtl/>
                </w:rPr>
                <w:alias w:val="2688"/>
                <w:tag w:val="2688"/>
                <w:id w:val="-1957249425"/>
                <w:placeholder>
                  <w:docPart w:val="8918806786E145BBBFC2CBD517CC197F"/>
                </w:placeholder>
                <w:text w:multiLine="1"/>
              </w:sdtPr>
              <w:sdtEndPr/>
              <w:sdtContent>
                <w:r>
                  <w:rPr>
                    <w:b/>
                    <w:bCs/>
                    <w:rtl/>
                  </w:rPr>
                  <w:t>0</w:t>
                </w:r>
                <w:r>
                  <w:rPr>
                    <w:rFonts w:hint="cs"/>
                    <w:b/>
                    <w:bCs/>
                    <w:rtl/>
                  </w:rPr>
                  <w:t>1111111</w:t>
                </w:r>
              </w:sdtContent>
            </w:sdt>
          </w:p>
          <w:p w:rsidR="00AB0B74" w:rsidRDefault="00AB0B74">
            <w:pPr>
              <w:suppressLineNumbers/>
              <w:rPr>
                <w:b/>
                <w:bCs/>
              </w:rPr>
            </w:pPr>
          </w:p>
        </w:tc>
      </w:tr>
      <w:tr w:rsidR="00AB0B74" w:rsidTr="00AB0B74">
        <w:tc>
          <w:tcPr>
            <w:tcW w:w="9127" w:type="dxa"/>
            <w:gridSpan w:val="2"/>
          </w:tcPr>
          <w:p w:rsidR="00AB0B74" w:rsidRDefault="00AB0B74">
            <w:pPr>
              <w:suppressLineNumbers/>
              <w:jc w:val="center"/>
              <w:rPr>
                <w:b/>
                <w:bCs/>
                <w:rtl/>
              </w:rPr>
            </w:pPr>
            <w:r>
              <w:rPr>
                <w:rFonts w:hint="cs"/>
                <w:b/>
                <w:bCs/>
                <w:rtl/>
              </w:rPr>
              <w:t>נגד</w:t>
            </w:r>
          </w:p>
          <w:p w:rsidR="00AB0B74" w:rsidRDefault="00AB0B74">
            <w:pPr>
              <w:suppressLineNumbers/>
              <w:rPr>
                <w:b/>
                <w:bCs/>
                <w:rtl/>
              </w:rPr>
            </w:pPr>
          </w:p>
        </w:tc>
      </w:tr>
      <w:tr w:rsidR="00AB0B74" w:rsidTr="00AB0B74">
        <w:trPr>
          <w:trHeight w:val="740"/>
        </w:trPr>
        <w:tc>
          <w:tcPr>
            <w:tcW w:w="3246" w:type="dxa"/>
            <w:hideMark/>
          </w:tcPr>
          <w:p w:rsidR="00AB0B74" w:rsidRDefault="00AB0B74">
            <w:pPr>
              <w:suppressLineNumbers/>
              <w:rPr>
                <w:b/>
                <w:bCs/>
                <w:rtl/>
              </w:rPr>
            </w:pPr>
            <w:r>
              <w:rPr>
                <w:rFonts w:hint="cs"/>
                <w:b/>
                <w:bCs/>
                <w:u w:val="double"/>
                <w:rtl/>
              </w:rPr>
              <w:t>ה</w:t>
            </w:r>
            <w:sdt>
              <w:sdtPr>
                <w:rPr>
                  <w:b/>
                  <w:bCs/>
                  <w:u w:val="double"/>
                  <w:rtl/>
                </w:rPr>
                <w:alias w:val="1265"/>
                <w:tag w:val="1265"/>
                <w:id w:val="15438151"/>
                <w:text/>
              </w:sdtPr>
              <w:sdtEndPr/>
              <w:sdtContent>
                <w:r>
                  <w:rPr>
                    <w:b/>
                    <w:bCs/>
                    <w:u w:val="double"/>
                    <w:rtl/>
                  </w:rPr>
                  <w:t>נתבעות:</w:t>
                </w:r>
              </w:sdtContent>
            </w:sdt>
          </w:p>
        </w:tc>
        <w:tc>
          <w:tcPr>
            <w:tcW w:w="5881" w:type="dxa"/>
            <w:hideMark/>
          </w:tcPr>
          <w:p w:rsidR="00AB0B74" w:rsidRDefault="00C265B6" w:rsidP="00AB0B74">
            <w:pPr>
              <w:suppressLineNumbers/>
              <w:rPr>
                <w:b/>
                <w:bCs/>
                <w:rtl/>
              </w:rPr>
            </w:pPr>
            <w:sdt>
              <w:sdtPr>
                <w:rPr>
                  <w:b/>
                  <w:bCs/>
                  <w:rtl/>
                </w:rPr>
                <w:alias w:val="829"/>
                <w:tag w:val="829"/>
                <w:id w:val="-731926407"/>
                <w:placeholder>
                  <w:docPart w:val="317027127C584E3B8A97D32C9C920725"/>
                </w:placeholder>
                <w:text w:multiLine="1"/>
              </w:sdtPr>
              <w:sdtEndPr/>
              <w:sdtContent>
                <w:r w:rsidR="00AB0B74">
                  <w:rPr>
                    <w:b/>
                    <w:bCs/>
                  </w:rPr>
                  <w:t>.1</w:t>
                </w:r>
              </w:sdtContent>
            </w:sdt>
            <w:r w:rsidR="00AB0B74">
              <w:rPr>
                <w:rFonts w:hint="cs"/>
                <w:b/>
                <w:bCs/>
                <w:rtl/>
              </w:rPr>
              <w:t xml:space="preserve"> </w:t>
            </w:r>
            <w:sdt>
              <w:sdtPr>
                <w:rPr>
                  <w:rFonts w:ascii="Times New Roman" w:eastAsia="Times New Roman" w:hAnsi="Times New Roman" w:cs="Times New Roman"/>
                  <w:b/>
                  <w:bCs/>
                  <w:rtl/>
                </w:rPr>
                <w:alias w:val="1266"/>
                <w:tag w:val="1266"/>
                <w:id w:val="1865085449"/>
                <w:placeholder>
                  <w:docPart w:val="4C85D01E7DF04E538FF7649380DC613B"/>
                </w:placeholder>
                <w:text w:multiLine="1"/>
              </w:sdtPr>
              <w:sdtEndPr/>
              <w:sdtContent>
                <w:r w:rsidR="00AB0B74">
                  <w:rPr>
                    <w:rFonts w:hint="cs"/>
                    <w:b/>
                    <w:bCs/>
                    <w:rtl/>
                  </w:rPr>
                  <w:t>אלמונית</w:t>
                </w:r>
              </w:sdtContent>
            </w:sdt>
            <w:r w:rsidR="00AB0B74">
              <w:rPr>
                <w:rFonts w:hint="cs"/>
                <w:b/>
                <w:bCs/>
                <w:rtl/>
              </w:rPr>
              <w:t xml:space="preserve"> </w:t>
            </w:r>
            <w:sdt>
              <w:sdtPr>
                <w:rPr>
                  <w:rFonts w:ascii="Times New Roman" w:eastAsia="Times New Roman" w:hAnsi="Times New Roman" w:cs="Times New Roman"/>
                  <w:b/>
                  <w:bCs/>
                  <w:rtl/>
                </w:rPr>
                <w:alias w:val="2687"/>
                <w:tag w:val="2687"/>
                <w:id w:val="512507375"/>
                <w:lock w:val="contentLocked"/>
                <w:placeholder>
                  <w:docPart w:val="CF18ECB115F94CEC9B99A2F05A423BDE"/>
                </w:placeholder>
                <w:text w:multiLine="1"/>
              </w:sdtPr>
              <w:sdtEndPr/>
              <w:sdtContent>
                <w:r w:rsidR="00AB0B74">
                  <w:rPr>
                    <w:b/>
                    <w:bCs/>
                    <w:rtl/>
                  </w:rPr>
                  <w:t>ת"ז</w:t>
                </w:r>
              </w:sdtContent>
            </w:sdt>
            <w:r w:rsidR="00AB0B74">
              <w:rPr>
                <w:rFonts w:hint="cs"/>
                <w:b/>
                <w:bCs/>
                <w:rtl/>
              </w:rPr>
              <w:t xml:space="preserve"> 000000000</w:t>
            </w:r>
          </w:p>
          <w:p w:rsidR="00AB0B74" w:rsidRDefault="00C265B6" w:rsidP="00AB0B74">
            <w:pPr>
              <w:suppressLineNumbers/>
              <w:rPr>
                <w:b/>
                <w:bCs/>
                <w:rtl/>
              </w:rPr>
            </w:pPr>
            <w:sdt>
              <w:sdtPr>
                <w:rPr>
                  <w:b/>
                  <w:bCs/>
                  <w:rtl/>
                </w:rPr>
                <w:alias w:val="829"/>
                <w:tag w:val="829"/>
                <w:id w:val="1560057466"/>
                <w:placeholder>
                  <w:docPart w:val="317027127C584E3B8A97D32C9C920725"/>
                </w:placeholder>
                <w:text w:multiLine="1"/>
              </w:sdtPr>
              <w:sdtEndPr/>
              <w:sdtContent>
                <w:r w:rsidR="00AB0B74">
                  <w:rPr>
                    <w:b/>
                    <w:bCs/>
                  </w:rPr>
                  <w:t xml:space="preserve">.2 </w:t>
                </w:r>
              </w:sdtContent>
            </w:sdt>
            <w:r w:rsidR="00AB0B74">
              <w:rPr>
                <w:rFonts w:hint="cs"/>
                <w:b/>
                <w:bCs/>
                <w:rtl/>
              </w:rPr>
              <w:t xml:space="preserve"> </w:t>
            </w:r>
            <w:sdt>
              <w:sdtPr>
                <w:rPr>
                  <w:rFonts w:ascii="Times New Roman" w:eastAsia="Times New Roman" w:hAnsi="Times New Roman" w:cs="Times New Roman"/>
                  <w:b/>
                  <w:bCs/>
                  <w:rtl/>
                </w:rPr>
                <w:alias w:val="1266"/>
                <w:tag w:val="1266"/>
                <w:id w:val="1986813197"/>
                <w:placeholder>
                  <w:docPart w:val="4C85D01E7DF04E538FF7649380DC613B"/>
                </w:placeholder>
                <w:text w:multiLine="1"/>
              </w:sdtPr>
              <w:sdtEndPr/>
              <w:sdtContent>
                <w:r w:rsidR="00AB0B74">
                  <w:rPr>
                    <w:rFonts w:hint="cs"/>
                    <w:b/>
                    <w:bCs/>
                    <w:rtl/>
                  </w:rPr>
                  <w:t>ס.ב</w:t>
                </w:r>
                <w:r w:rsidR="00AB0B74">
                  <w:rPr>
                    <w:b/>
                    <w:bCs/>
                    <w:rtl/>
                  </w:rPr>
                  <w:t xml:space="preserve"> (כונס</w:t>
                </w:r>
                <w:r w:rsidR="00AB0B74">
                  <w:rPr>
                    <w:rFonts w:hint="cs"/>
                    <w:b/>
                    <w:bCs/>
                    <w:rtl/>
                  </w:rPr>
                  <w:t>ת</w:t>
                </w:r>
                <w:r w:rsidR="00AB0B74">
                  <w:rPr>
                    <w:b/>
                    <w:bCs/>
                    <w:rtl/>
                  </w:rPr>
                  <w:t xml:space="preserve"> נכסים)</w:t>
                </w:r>
              </w:sdtContent>
            </w:sdt>
            <w:r w:rsidR="00AB0B74">
              <w:rPr>
                <w:rFonts w:hint="cs"/>
                <w:b/>
                <w:bCs/>
                <w:rtl/>
              </w:rPr>
              <w:t xml:space="preserve"> </w:t>
            </w:r>
            <w:sdt>
              <w:sdtPr>
                <w:rPr>
                  <w:rFonts w:ascii="Times New Roman" w:eastAsia="Times New Roman" w:hAnsi="Times New Roman" w:cs="Times New Roman"/>
                  <w:b/>
                  <w:bCs/>
                  <w:rtl/>
                </w:rPr>
                <w:alias w:val="2687"/>
                <w:tag w:val="2687"/>
                <w:id w:val="329416667"/>
                <w:lock w:val="contentLocked"/>
                <w:placeholder>
                  <w:docPart w:val="CF18ECB115F94CEC9B99A2F05A423BDE"/>
                </w:placeholder>
                <w:text w:multiLine="1"/>
              </w:sdtPr>
              <w:sdtEndPr/>
              <w:sdtContent>
                <w:r w:rsidR="00AB0B74">
                  <w:rPr>
                    <w:b/>
                    <w:bCs/>
                    <w:rtl/>
                  </w:rPr>
                  <w:t>ת"ז</w:t>
                </w:r>
              </w:sdtContent>
            </w:sdt>
            <w:r w:rsidR="00AB0B74">
              <w:rPr>
                <w:rFonts w:hint="cs"/>
                <w:b/>
                <w:bCs/>
                <w:rtl/>
              </w:rPr>
              <w:t xml:space="preserve"> 02222222 </w:t>
            </w:r>
            <w:sdt>
              <w:sdtPr>
                <w:rPr>
                  <w:rFonts w:ascii="Times New Roman" w:eastAsia="Times New Roman" w:hAnsi="Times New Roman" w:cs="Times New Roman"/>
                  <w:b/>
                  <w:bCs/>
                  <w:rtl/>
                </w:rPr>
                <w:alias w:val="2689"/>
                <w:tag w:val="2689"/>
                <w:id w:val="1346980285"/>
                <w:lock w:val="contentLocked"/>
                <w:placeholder>
                  <w:docPart w:val="11EFCF03D0864AA788CCB98FB45DB577"/>
                </w:placeholder>
                <w:text w:multiLine="1"/>
              </w:sdtPr>
              <w:sdtEndPr/>
              <w:sdtContent/>
            </w:sdt>
          </w:p>
        </w:tc>
      </w:tr>
    </w:tbl>
    <w:p w:rsidR="00AB0B74" w:rsidRDefault="00AB0B74" w:rsidP="00AB0B74">
      <w:pPr>
        <w:jc w:val="both"/>
        <w:rPr>
          <w:rtl/>
        </w:rPr>
      </w:pPr>
    </w:p>
    <w:p w:rsidR="00AB0B74" w:rsidRDefault="00AB0B74" w:rsidP="00AB0B74">
      <w:pPr>
        <w:jc w:val="both"/>
        <w:rPr>
          <w:rtl/>
        </w:rPr>
      </w:pPr>
    </w:p>
    <w:p w:rsidR="00AB0B74" w:rsidRDefault="00AB0B74" w:rsidP="00AB0B74">
      <w:pPr>
        <w:jc w:val="both"/>
        <w:rPr>
          <w:sz w:val="6"/>
          <w:szCs w:val="6"/>
          <w:rtl/>
        </w:rPr>
      </w:pPr>
      <w:r>
        <w:rPr>
          <w:rFonts w:hint="cs"/>
          <w:sz w:val="6"/>
          <w:szCs w:val="6"/>
          <w:rtl/>
        </w:rPr>
        <w:t>&lt;#1#&gt;</w:t>
      </w:r>
    </w:p>
    <w:p w:rsidR="00AB0B74" w:rsidRDefault="00AB0B74" w:rsidP="00AB0B74">
      <w:pPr>
        <w:pStyle w:val="12"/>
        <w:spacing w:line="360" w:lineRule="auto"/>
        <w:rPr>
          <w:u w:val="none"/>
          <w:rtl/>
        </w:rPr>
      </w:pPr>
      <w:r>
        <w:rPr>
          <w:u w:val="double"/>
          <w:rtl/>
        </w:rPr>
        <w:t>נוכחים</w:t>
      </w:r>
      <w:r>
        <w:rPr>
          <w:u w:val="none"/>
          <w:rtl/>
        </w:rPr>
        <w:t>:</w:t>
      </w:r>
    </w:p>
    <w:p w:rsidR="00AB0B74" w:rsidRDefault="00AB0B74" w:rsidP="00AB0B74">
      <w:pPr>
        <w:pStyle w:val="12"/>
        <w:spacing w:line="360" w:lineRule="auto"/>
        <w:rPr>
          <w:u w:val="none"/>
          <w:rtl/>
        </w:rPr>
      </w:pPr>
      <w:r>
        <w:rPr>
          <w:u w:val="none"/>
          <w:rtl/>
        </w:rPr>
        <w:t>התובע וב"כ עו"ד עיינה אונגר לטין</w:t>
      </w:r>
    </w:p>
    <w:p w:rsidR="00AB0B74" w:rsidRDefault="00AB0B74" w:rsidP="00AB0B74">
      <w:pPr>
        <w:pStyle w:val="12"/>
        <w:spacing w:line="360" w:lineRule="auto"/>
        <w:rPr>
          <w:u w:val="none"/>
          <w:rtl/>
        </w:rPr>
      </w:pPr>
      <w:r>
        <w:rPr>
          <w:u w:val="none"/>
          <w:rtl/>
        </w:rPr>
        <w:t xml:space="preserve">כונסת הנכסים עו"ד </w:t>
      </w:r>
      <w:r>
        <w:rPr>
          <w:rFonts w:hint="cs"/>
          <w:u w:val="none"/>
          <w:rtl/>
        </w:rPr>
        <w:t>ס.ב</w:t>
      </w:r>
    </w:p>
    <w:p w:rsidR="00AB0B74" w:rsidRDefault="00AB0B74" w:rsidP="00AB0B74">
      <w:pPr>
        <w:pStyle w:val="12"/>
        <w:spacing w:line="360" w:lineRule="auto"/>
        <w:rPr>
          <w:u w:val="none"/>
          <w:rtl/>
        </w:rPr>
      </w:pPr>
      <w:r>
        <w:rPr>
          <w:u w:val="none"/>
          <w:rtl/>
        </w:rPr>
        <w:t>הנתבעת וב"כ עו"ד ענבל גבריאלי</w:t>
      </w:r>
    </w:p>
    <w:p w:rsidR="00AB0B74" w:rsidRDefault="00AB0B74" w:rsidP="00AB0B74">
      <w:pPr>
        <w:spacing w:line="360" w:lineRule="auto"/>
        <w:jc w:val="center"/>
        <w:rPr>
          <w:rFonts w:ascii="Arial" w:hAnsi="Arial"/>
          <w:b/>
          <w:bCs/>
          <w:sz w:val="32"/>
          <w:szCs w:val="32"/>
          <w:u w:val="double"/>
          <w:rtl/>
        </w:rPr>
      </w:pPr>
    </w:p>
    <w:p w:rsidR="00AB0B74" w:rsidRDefault="00887722" w:rsidP="00AB0B74">
      <w:pPr>
        <w:spacing w:line="360" w:lineRule="auto"/>
        <w:jc w:val="center"/>
        <w:rPr>
          <w:rFonts w:ascii="Arial" w:hAnsi="Arial"/>
          <w:b/>
          <w:bCs/>
          <w:sz w:val="32"/>
          <w:szCs w:val="32"/>
          <w:u w:val="double"/>
          <w:rtl/>
        </w:rPr>
      </w:pPr>
      <w:r>
        <w:rPr>
          <w:rFonts w:ascii="Arial" w:hAnsi="Arial" w:hint="cs"/>
          <w:b/>
          <w:bCs/>
          <w:sz w:val="32"/>
          <w:szCs w:val="32"/>
          <w:u w:val="double"/>
          <w:rtl/>
        </w:rPr>
        <w:t>החלטה בבקשה 4</w:t>
      </w:r>
    </w:p>
    <w:p w:rsidR="00887722" w:rsidRDefault="00887722" w:rsidP="00AB0B74">
      <w:pPr>
        <w:spacing w:line="360" w:lineRule="auto"/>
        <w:jc w:val="center"/>
        <w:rPr>
          <w:rFonts w:ascii="Arial" w:hAnsi="Arial"/>
          <w:b/>
          <w:bCs/>
          <w:sz w:val="32"/>
          <w:szCs w:val="32"/>
          <w:u w:val="double"/>
        </w:rPr>
      </w:pPr>
    </w:p>
    <w:p w:rsidR="00AB0B74" w:rsidRDefault="00AB0B74" w:rsidP="00AB0B74">
      <w:pPr>
        <w:pStyle w:val="a3"/>
        <w:numPr>
          <w:ilvl w:val="0"/>
          <w:numId w:val="1"/>
        </w:numPr>
        <w:spacing w:line="360" w:lineRule="auto"/>
        <w:jc w:val="both"/>
        <w:rPr>
          <w:rtl/>
        </w:rPr>
      </w:pPr>
      <w:r>
        <w:rPr>
          <w:rFonts w:hint="cs"/>
          <w:rtl/>
        </w:rPr>
        <w:t>ביום 28.08.2024 הגישה כונסת הנכסים, ד"ר ס.ב, בקשה לקביעת שכר טרחתה.</w:t>
      </w:r>
    </w:p>
    <w:p w:rsidR="00AB0B74" w:rsidRDefault="00AB0B74" w:rsidP="00AB0B74">
      <w:pPr>
        <w:pStyle w:val="a3"/>
        <w:numPr>
          <w:ilvl w:val="0"/>
          <w:numId w:val="1"/>
        </w:numPr>
        <w:spacing w:line="360" w:lineRule="auto"/>
        <w:jc w:val="both"/>
      </w:pPr>
      <w:r>
        <w:rPr>
          <w:rFonts w:hint="cs"/>
          <w:rtl/>
        </w:rPr>
        <w:t xml:space="preserve">שכר הטרחה אשר התבקש, הגיע לסך 46,000 ₪ שעליו יש להוסיף מע"מ והוא חושב כ- 2 אחוזים משווי תמורת מכר של הדירה, כולה, בה טיפלה הכונסת. </w:t>
      </w:r>
    </w:p>
    <w:p w:rsidR="00AB0B74" w:rsidRDefault="00AB0B74" w:rsidP="00AB0B74">
      <w:pPr>
        <w:pStyle w:val="a3"/>
        <w:numPr>
          <w:ilvl w:val="0"/>
          <w:numId w:val="1"/>
        </w:numPr>
        <w:spacing w:line="360" w:lineRule="auto"/>
        <w:jc w:val="both"/>
      </w:pPr>
      <w:r>
        <w:rPr>
          <w:rFonts w:hint="cs"/>
          <w:rtl/>
        </w:rPr>
        <w:t xml:space="preserve">עיון בתגובות הצדדים מעלה שתי שאלות ולא רק אחת. השאלה הראשונה היא שאלת שיעור שכר הטרחה והשאלה השנייה היא, מיהו זה אשר צריך לשאת בהוצאות שכר הטרחה, שכן לשיטת המשיב, הבקשה היא ראויה גם ראויה, אלא שיש להשית את שכר הטרחה על המשיבה בלבד ומתגובת המשיבה אני למד שהיא סוברת כי את שכר הטרחה יש לחלוק בין הצדדים. </w:t>
      </w:r>
    </w:p>
    <w:p w:rsidR="00AB0B74" w:rsidRDefault="00AB0B74" w:rsidP="00AB0B74">
      <w:pPr>
        <w:pStyle w:val="a3"/>
        <w:numPr>
          <w:ilvl w:val="0"/>
          <w:numId w:val="1"/>
        </w:numPr>
        <w:spacing w:line="360" w:lineRule="auto"/>
        <w:jc w:val="both"/>
      </w:pPr>
      <w:r>
        <w:rPr>
          <w:rFonts w:hint="cs"/>
          <w:rtl/>
        </w:rPr>
        <w:t xml:space="preserve">מספר כללים נקבעו בפסיקה באשר לפסיקת שכר טרחתו של כונס. </w:t>
      </w:r>
    </w:p>
    <w:p w:rsidR="00AB0B74" w:rsidRDefault="00AB0B74" w:rsidP="00AB0B74">
      <w:pPr>
        <w:pStyle w:val="a3"/>
        <w:numPr>
          <w:ilvl w:val="0"/>
          <w:numId w:val="1"/>
        </w:numPr>
        <w:spacing w:line="360" w:lineRule="auto"/>
        <w:jc w:val="both"/>
      </w:pPr>
      <w:r>
        <w:rPr>
          <w:rFonts w:hint="cs"/>
          <w:rtl/>
        </w:rPr>
        <w:t xml:space="preserve">הכלל הראשון הוא, ששכר טרחה אינו צריך לחרוג משיעור 4 אחוזים. 4 אחוזים ממה? משווי המכר. </w:t>
      </w:r>
    </w:p>
    <w:p w:rsidR="00AB0B74" w:rsidRDefault="00AB0B74" w:rsidP="00AB0B74">
      <w:pPr>
        <w:pStyle w:val="a3"/>
        <w:numPr>
          <w:ilvl w:val="0"/>
          <w:numId w:val="1"/>
        </w:numPr>
        <w:spacing w:line="360" w:lineRule="auto"/>
        <w:jc w:val="both"/>
      </w:pPr>
      <w:r>
        <w:rPr>
          <w:rFonts w:hint="cs"/>
          <w:rtl/>
        </w:rPr>
        <w:t xml:space="preserve">מסבירה המשיבה כי למעשה, לא היה שום מכר ומשכך, יש לגזור את שכר הטרחה בשווי 2 אחוזים ממחצית שוויו של הנכס. </w:t>
      </w:r>
    </w:p>
    <w:p w:rsidR="00AB0B74" w:rsidRDefault="00AB0B74" w:rsidP="00AB0B74">
      <w:pPr>
        <w:pStyle w:val="a3"/>
        <w:numPr>
          <w:ilvl w:val="0"/>
          <w:numId w:val="1"/>
        </w:numPr>
        <w:spacing w:line="360" w:lineRule="auto"/>
        <w:jc w:val="both"/>
      </w:pPr>
      <w:r>
        <w:rPr>
          <w:rFonts w:hint="cs"/>
          <w:rtl/>
        </w:rPr>
        <w:t>הכלל השני הוא, ששכר הטרחה נגזר משווי של הנכס. על מנת שלא ליצור עיוות דין וחוסר תאימות, אזי בנכס יקר מאוד, פוחתים האחוזים שפוסק בית המשפט לבל לא יהא השכר בלתי פרופורציונלי. לעומת זאת בנכס זול, נוטה בית המשפט לפסוק יותר ולו על מנת לעודד עורכי דין לשמש ככונסי נכסים, גם בנכסים שאינם יקרים מאוד.</w:t>
      </w:r>
    </w:p>
    <w:p w:rsidR="00AB0B74" w:rsidRDefault="00AB0B74" w:rsidP="00AB0B74">
      <w:pPr>
        <w:pStyle w:val="a3"/>
        <w:numPr>
          <w:ilvl w:val="0"/>
          <w:numId w:val="1"/>
        </w:numPr>
        <w:spacing w:line="360" w:lineRule="auto"/>
        <w:jc w:val="both"/>
      </w:pPr>
      <w:r>
        <w:rPr>
          <w:rFonts w:hint="cs"/>
          <w:rtl/>
        </w:rPr>
        <w:t>שווי דירה של 2.3 מיליון ₪, הוא שווי דירה סטנדרטי למדי ובוודאי שאין מדובר בנכס יקר במיוחד. גם שווי שכר הטרחה המבוקש, 46 אלף ₪, אינו סכום עתק שאינו מאפיין פעילות מתווך או עורך דין, אגב מכר דירה כאמור.</w:t>
      </w:r>
    </w:p>
    <w:p w:rsidR="00AB0B74" w:rsidRDefault="00AB0B74" w:rsidP="00AB0B74">
      <w:pPr>
        <w:pStyle w:val="a3"/>
        <w:numPr>
          <w:ilvl w:val="0"/>
          <w:numId w:val="1"/>
        </w:numPr>
        <w:spacing w:line="360" w:lineRule="auto"/>
        <w:jc w:val="both"/>
      </w:pPr>
      <w:r>
        <w:rPr>
          <w:rFonts w:hint="cs"/>
          <w:rtl/>
        </w:rPr>
        <w:lastRenderedPageBreak/>
        <w:t xml:space="preserve">אם תלך לשיטת המשיבה לפיה יש לפסוק רק 2 אחוזים, אזי 2 אחוזים מסך כל הדירה הוא בדיוק הסך המבוקש. </w:t>
      </w:r>
    </w:p>
    <w:p w:rsidR="00AB0B74" w:rsidRDefault="00AB0B74" w:rsidP="00AB0B74">
      <w:pPr>
        <w:pStyle w:val="a3"/>
        <w:numPr>
          <w:ilvl w:val="0"/>
          <w:numId w:val="1"/>
        </w:numPr>
        <w:spacing w:line="360" w:lineRule="auto"/>
        <w:jc w:val="both"/>
      </w:pPr>
      <w:r>
        <w:rPr>
          <w:rFonts w:hint="cs"/>
          <w:rtl/>
        </w:rPr>
        <w:t xml:space="preserve">כלל הוא שכאשר מתמנה כונס, מחושב שכרו מכלל הנכס שהוא מטפל בו. העובדה שהצדדים הגיעו לכלל מצב שבו האחד רוכש את חלקו של האחר, אינה מצב נדיר ואין בה כדי לפגוע בשכרו של הכונס להיפך, חוק המקרקעין אולי רומז מכוח אנלוגיה כי ברירת הרכישה על ידי בן זוג כמעין זכות קדימה לרכישה, היא דרך טובה. </w:t>
      </w:r>
    </w:p>
    <w:p w:rsidR="00AB0B74" w:rsidRDefault="00AB0B74" w:rsidP="00AB0B74">
      <w:pPr>
        <w:pStyle w:val="a3"/>
        <w:numPr>
          <w:ilvl w:val="0"/>
          <w:numId w:val="1"/>
        </w:numPr>
        <w:spacing w:line="360" w:lineRule="auto"/>
        <w:jc w:val="both"/>
      </w:pPr>
      <w:r>
        <w:rPr>
          <w:rFonts w:hint="cs"/>
          <w:rtl/>
        </w:rPr>
        <w:t xml:space="preserve">אומרת המשיבה, כי </w:t>
      </w:r>
      <w:proofErr w:type="spellStart"/>
      <w:r>
        <w:rPr>
          <w:rFonts w:hint="cs"/>
          <w:rtl/>
        </w:rPr>
        <w:t>בכאן</w:t>
      </w:r>
      <w:proofErr w:type="spellEnd"/>
      <w:r>
        <w:rPr>
          <w:rFonts w:hint="cs"/>
          <w:rtl/>
        </w:rPr>
        <w:t xml:space="preserve"> אין מדובר במכר. </w:t>
      </w:r>
    </w:p>
    <w:p w:rsidR="00AB0B74" w:rsidRDefault="00AB0B74" w:rsidP="00AB0B74">
      <w:pPr>
        <w:pStyle w:val="a3"/>
        <w:numPr>
          <w:ilvl w:val="0"/>
          <w:numId w:val="1"/>
        </w:numPr>
        <w:spacing w:line="360" w:lineRule="auto"/>
        <w:jc w:val="both"/>
      </w:pPr>
      <w:r>
        <w:rPr>
          <w:rFonts w:hint="cs"/>
          <w:rtl/>
        </w:rPr>
        <w:t xml:space="preserve">ביום 17.06.2024 נתתי בתיק פסק דין אשר הסביר כי הצדדים הגיעו להסכם גירושין במסגרתו יכולה הייתה המשיבה לרכוש את הדירה. אלא שהתנהלותה של המשיבה הייתה בלתי ראויה לחלוטין. והתנהלות זו שהניבה תביעה של המשיב ובעקבותיה מינוי הכונסת, היא זו המביאה אותנו היום גם לדון בשכר טרחת הכונסת. </w:t>
      </w:r>
    </w:p>
    <w:p w:rsidR="00AB0B74" w:rsidRDefault="00AB0B74" w:rsidP="00AB0B74">
      <w:pPr>
        <w:pStyle w:val="a3"/>
        <w:numPr>
          <w:ilvl w:val="0"/>
          <w:numId w:val="1"/>
        </w:numPr>
        <w:spacing w:line="360" w:lineRule="auto"/>
        <w:jc w:val="both"/>
      </w:pPr>
      <w:r>
        <w:rPr>
          <w:rFonts w:hint="cs"/>
          <w:rtl/>
        </w:rPr>
        <w:t>אין עורר כי מה שהביא את התובענה שגרמה בסוף למינוי הכונסת, הוא העובדה שגם סכום שלא שנוי במחלוקת לא שילמה המשיבה והיא אף ביקשה לרשום על שמה את הנכס כולו בטרם אפילו תיטול משכנתא.  הכול ככתוב בפסק הדין.</w:t>
      </w:r>
    </w:p>
    <w:p w:rsidR="00AB0B74" w:rsidRDefault="00AB0B74" w:rsidP="00AB0B74">
      <w:pPr>
        <w:pStyle w:val="a3"/>
        <w:numPr>
          <w:ilvl w:val="0"/>
          <w:numId w:val="1"/>
        </w:numPr>
        <w:spacing w:line="360" w:lineRule="auto"/>
        <w:jc w:val="both"/>
      </w:pPr>
      <w:r>
        <w:rPr>
          <w:rFonts w:hint="cs"/>
          <w:rtl/>
        </w:rPr>
        <w:t xml:space="preserve">כתבתי בס' 26 לפסק הדין, כי המשיבה בעצם הפרה את פסק הדין לגירושין. </w:t>
      </w:r>
    </w:p>
    <w:p w:rsidR="00AB0B74" w:rsidRDefault="00AB0B74" w:rsidP="00AB0B74">
      <w:pPr>
        <w:pStyle w:val="a3"/>
        <w:numPr>
          <w:ilvl w:val="0"/>
          <w:numId w:val="1"/>
        </w:numPr>
        <w:spacing w:line="360" w:lineRule="auto"/>
        <w:jc w:val="both"/>
      </w:pPr>
      <w:r>
        <w:rPr>
          <w:rFonts w:hint="cs"/>
          <w:rtl/>
        </w:rPr>
        <w:t>פסק הדין אפשר לכונסת את השלמת העסקה המקורית שבהסכם הגירושין ואולם, בהינתן הקשיים שהוצבו, התאפשר לכונסת הנכסים בתום 60 ימים גם להוציא את הנכס למכר.</w:t>
      </w:r>
    </w:p>
    <w:p w:rsidR="00AB0B74" w:rsidRDefault="00AB0B74" w:rsidP="00AB0B74">
      <w:pPr>
        <w:pStyle w:val="a3"/>
        <w:numPr>
          <w:ilvl w:val="0"/>
          <w:numId w:val="1"/>
        </w:numPr>
        <w:spacing w:line="360" w:lineRule="auto"/>
        <w:jc w:val="both"/>
      </w:pPr>
      <w:r>
        <w:rPr>
          <w:rFonts w:hint="cs"/>
          <w:rtl/>
        </w:rPr>
        <w:t>אמור בשניים: ראשית, כי העסקה הייתה בגדר עסקת מכר עוד במקור, בהסכם הגירושין וכי לעת המינוי עדיין נצפה מצב של מכר ושנית, כי לעניין הכונסת, יש להסתכל על הנכס כולו.</w:t>
      </w:r>
    </w:p>
    <w:p w:rsidR="00AB0B74" w:rsidRDefault="00AB0B74" w:rsidP="00AB0B74">
      <w:pPr>
        <w:pStyle w:val="a3"/>
        <w:numPr>
          <w:ilvl w:val="0"/>
          <w:numId w:val="1"/>
        </w:numPr>
        <w:spacing w:line="360" w:lineRule="auto"/>
        <w:jc w:val="both"/>
      </w:pPr>
      <w:r>
        <w:rPr>
          <w:rFonts w:hint="cs"/>
          <w:rtl/>
        </w:rPr>
        <w:t xml:space="preserve">הצלחתה של הכונסת להביא בסופו של דבר להשלמתו של הסכם הגירושין למרות התנהלותה של המשיבה בעבר, צריכה לפעול לזכותה ולא לרעתה. </w:t>
      </w:r>
    </w:p>
    <w:p w:rsidR="00AB0B74" w:rsidRDefault="00AB0B74" w:rsidP="00AB0B74">
      <w:pPr>
        <w:pStyle w:val="a3"/>
        <w:numPr>
          <w:ilvl w:val="0"/>
          <w:numId w:val="1"/>
        </w:numPr>
        <w:spacing w:line="360" w:lineRule="auto"/>
        <w:jc w:val="both"/>
      </w:pPr>
      <w:r>
        <w:rPr>
          <w:rFonts w:hint="cs"/>
          <w:rtl/>
        </w:rPr>
        <w:t xml:space="preserve">אם תביט בתגובתה של המשיבה, תראה שזו האחרונה מבקשת כי שכר טרחת הכונסת לא יהיה יותר מאשר אחוז אחד משווי המכר, ואין לכך שום סיבה שבדין. </w:t>
      </w:r>
    </w:p>
    <w:p w:rsidR="00AB0B74" w:rsidRDefault="00AB0B74" w:rsidP="00AB0B74">
      <w:pPr>
        <w:pStyle w:val="a3"/>
        <w:numPr>
          <w:ilvl w:val="0"/>
          <w:numId w:val="1"/>
        </w:numPr>
        <w:spacing w:line="360" w:lineRule="auto"/>
        <w:jc w:val="both"/>
      </w:pPr>
      <w:r>
        <w:rPr>
          <w:rFonts w:hint="cs"/>
          <w:rtl/>
        </w:rPr>
        <w:t>אם תסתכל על כל הסכם המכר, אזי שיעור של 2 אחוזים הוא שיעור נמוך בהינתן הצדדים ואם תסתכל אפילו כשיטת המשיבה רק על מחצית המכר ולא זה כללו של דין, עדיין מדובר בשכר ראוי לאמור, השכר המבוקש.</w:t>
      </w:r>
    </w:p>
    <w:p w:rsidR="00AB0B74" w:rsidRDefault="00AB0B74" w:rsidP="00AB0B74">
      <w:pPr>
        <w:pStyle w:val="a3"/>
        <w:numPr>
          <w:ilvl w:val="0"/>
          <w:numId w:val="1"/>
        </w:numPr>
        <w:spacing w:line="360" w:lineRule="auto"/>
        <w:jc w:val="both"/>
      </w:pPr>
      <w:r>
        <w:rPr>
          <w:rFonts w:hint="cs"/>
          <w:rtl/>
        </w:rPr>
        <w:t xml:space="preserve">אני נעתר </w:t>
      </w:r>
      <w:proofErr w:type="spellStart"/>
      <w:r>
        <w:rPr>
          <w:rFonts w:hint="cs"/>
          <w:rtl/>
        </w:rPr>
        <w:t>איפוא</w:t>
      </w:r>
      <w:proofErr w:type="spellEnd"/>
      <w:r>
        <w:rPr>
          <w:rFonts w:hint="cs"/>
          <w:rtl/>
        </w:rPr>
        <w:t xml:space="preserve"> לבקשה ומורה כי הכונסת תהיה זכאית לסך 46 אלף ₪ בצירוף מע"מ ובסך הכול 53,820 ₪. </w:t>
      </w:r>
    </w:p>
    <w:p w:rsidR="00AB0B74" w:rsidRDefault="00AB0B74" w:rsidP="00AB0B74">
      <w:pPr>
        <w:pStyle w:val="a3"/>
        <w:numPr>
          <w:ilvl w:val="0"/>
          <w:numId w:val="1"/>
        </w:numPr>
        <w:spacing w:line="360" w:lineRule="auto"/>
        <w:jc w:val="both"/>
      </w:pPr>
      <w:r>
        <w:rPr>
          <w:rFonts w:hint="cs"/>
          <w:rtl/>
        </w:rPr>
        <w:t xml:space="preserve">בבואי לשקול מיהו זה אשר צריך לפרוע את הסך, אזי ברור שלו הייתה המשיבה פועלת כפי ההסכם, לא היה צורך לא בתביעה ולא במינוי הכונסת, אלא שבגין הפרת ההסכם כבר </w:t>
      </w:r>
      <w:proofErr w:type="spellStart"/>
      <w:r>
        <w:rPr>
          <w:rFonts w:hint="cs"/>
          <w:rtl/>
        </w:rPr>
        <w:t>התפצה</w:t>
      </w:r>
      <w:proofErr w:type="spellEnd"/>
      <w:r>
        <w:rPr>
          <w:rFonts w:hint="cs"/>
          <w:rtl/>
        </w:rPr>
        <w:t xml:space="preserve"> כפי פסק דיני המשיב. </w:t>
      </w:r>
    </w:p>
    <w:p w:rsidR="00AB0B74" w:rsidRDefault="00AB0B74" w:rsidP="00AB0B74">
      <w:pPr>
        <w:pStyle w:val="a3"/>
        <w:numPr>
          <w:ilvl w:val="0"/>
          <w:numId w:val="1"/>
        </w:numPr>
        <w:spacing w:line="360" w:lineRule="auto"/>
        <w:jc w:val="both"/>
      </w:pPr>
      <w:r>
        <w:rPr>
          <w:rFonts w:hint="cs"/>
          <w:rtl/>
        </w:rPr>
        <w:t xml:space="preserve">צריך לזכור כי מינוי הכונסת נגרם בעטיה של המשיבה ואולם, גם המשיב קיבל שירות מכונסת הנכסים, שאם לא כן, מי יודע מה ומתי הייתה העסקה מסתיימת. </w:t>
      </w:r>
    </w:p>
    <w:p w:rsidR="00AB0B74" w:rsidRDefault="00AB0B74" w:rsidP="00AB0B74">
      <w:pPr>
        <w:pStyle w:val="a3"/>
        <w:numPr>
          <w:ilvl w:val="0"/>
          <w:numId w:val="1"/>
        </w:numPr>
        <w:spacing w:line="360" w:lineRule="auto"/>
        <w:jc w:val="both"/>
      </w:pPr>
      <w:r>
        <w:rPr>
          <w:rFonts w:hint="cs"/>
          <w:rtl/>
        </w:rPr>
        <w:t xml:space="preserve">בהינתן האמור לעיל, תישא המשיבה ב- 65 אחוזים משכר טרחת הכונסת וביתרת השכר יישא המשיב. </w:t>
      </w:r>
    </w:p>
    <w:p w:rsidR="00AB0B74" w:rsidRDefault="00AB0B74" w:rsidP="00AB0B74">
      <w:pPr>
        <w:pStyle w:val="a3"/>
        <w:numPr>
          <w:ilvl w:val="0"/>
          <w:numId w:val="1"/>
        </w:numPr>
        <w:spacing w:line="360" w:lineRule="auto"/>
        <w:jc w:val="both"/>
      </w:pPr>
      <w:r>
        <w:rPr>
          <w:rFonts w:hint="cs"/>
          <w:rtl/>
        </w:rPr>
        <w:t xml:space="preserve">משהתנגדה המשיבה לפסיקת שכר טרחת הכונסת, תישא היא בהוצאות בגין הדיון היום בסך 1,000 ₪ לטובת הכונסת. </w:t>
      </w:r>
    </w:p>
    <w:p w:rsidR="00AB0B74" w:rsidRDefault="00AB0B74" w:rsidP="00AB0B74">
      <w:pPr>
        <w:pStyle w:val="a3"/>
        <w:numPr>
          <w:ilvl w:val="0"/>
          <w:numId w:val="1"/>
        </w:numPr>
        <w:spacing w:line="360" w:lineRule="auto"/>
        <w:jc w:val="both"/>
      </w:pPr>
      <w:r>
        <w:rPr>
          <w:rFonts w:hint="cs"/>
          <w:rtl/>
        </w:rPr>
        <w:lastRenderedPageBreak/>
        <w:t xml:space="preserve">מאליו ברור כי אם לא ייפרע הסך על ידי המשיבה או המשיב בתוך 30 ימים מהיום, יישא הסך הפרשי ריבית והצמדה כחוק מהיום. </w:t>
      </w:r>
    </w:p>
    <w:p w:rsidR="00AB0B74" w:rsidRDefault="00AB0B74" w:rsidP="00AB0B74">
      <w:pPr>
        <w:pStyle w:val="a3"/>
        <w:numPr>
          <w:ilvl w:val="0"/>
          <w:numId w:val="1"/>
        </w:numPr>
        <w:spacing w:line="360" w:lineRule="auto"/>
        <w:jc w:val="both"/>
      </w:pPr>
      <w:r>
        <w:rPr>
          <w:rFonts w:hint="cs"/>
          <w:rtl/>
        </w:rPr>
        <w:t xml:space="preserve"> אני מתיר פרסום החלטה זו בהשמטת כל פרט מזהה אודות הצדדים.</w:t>
      </w:r>
    </w:p>
    <w:p w:rsidR="00AB0B74" w:rsidRDefault="00AB0B74" w:rsidP="00AB0B74">
      <w:pPr>
        <w:spacing w:line="360" w:lineRule="auto"/>
        <w:jc w:val="both"/>
      </w:pPr>
    </w:p>
    <w:p w:rsidR="00AB0B74" w:rsidRDefault="00AB0B74" w:rsidP="00AB0B74">
      <w:pPr>
        <w:spacing w:line="360" w:lineRule="auto"/>
        <w:jc w:val="both"/>
        <w:rPr>
          <w:sz w:val="6"/>
          <w:szCs w:val="6"/>
          <w:rtl/>
        </w:rPr>
      </w:pPr>
      <w:r>
        <w:rPr>
          <w:rFonts w:hint="cs"/>
          <w:sz w:val="6"/>
          <w:szCs w:val="6"/>
          <w:rtl/>
        </w:rPr>
        <w:t>&lt;#3#&gt;</w:t>
      </w:r>
    </w:p>
    <w:p w:rsidR="00AB0B74" w:rsidRDefault="00AB0B74" w:rsidP="00AB0B74">
      <w:pPr>
        <w:spacing w:line="360" w:lineRule="auto"/>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ג' חשוון תשפ"ה</w:t>
          </w:r>
        </w:sdtContent>
      </w:sdt>
      <w:r>
        <w:rPr>
          <w:rFonts w:hint="cs"/>
          <w:b/>
          <w:bCs/>
          <w:rtl/>
        </w:rPr>
        <w:t xml:space="preserve">, </w:t>
      </w:r>
      <w:sdt>
        <w:sdtPr>
          <w:rPr>
            <w:rFonts w:hint="cs"/>
            <w:rtl/>
          </w:rPr>
          <w:alias w:val="2206"/>
          <w:tag w:val="2206"/>
          <w:id w:val="-1474593809"/>
          <w:text w:multiLine="1"/>
        </w:sdtPr>
        <w:sdtEndPr/>
        <w:sdtContent>
          <w:r>
            <w:rPr>
              <w:rFonts w:hint="cs"/>
              <w:b/>
              <w:bCs/>
            </w:rPr>
            <w:t>04/11/2024</w:t>
          </w:r>
        </w:sdtContent>
      </w:sdt>
      <w:r>
        <w:rPr>
          <w:rFonts w:hint="cs"/>
          <w:b/>
          <w:bCs/>
          <w:rtl/>
        </w:rPr>
        <w:t xml:space="preserve"> במעמד הנוכחים.</w:t>
      </w:r>
    </w:p>
    <w:p w:rsidR="00AB0B74" w:rsidRDefault="00AB0B74" w:rsidP="00AB0B74">
      <w:pPr>
        <w:rPr>
          <w:rtl/>
        </w:rPr>
      </w:pPr>
    </w:p>
    <w:tbl>
      <w:tblPr>
        <w:tblStyle w:val="a4"/>
        <w:bidiVisual/>
        <w:tblW w:w="0" w:type="auto"/>
        <w:tblInd w:w="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B0B74" w:rsidTr="00AB0B74">
        <w:trPr>
          <w:trHeight w:val="316"/>
        </w:trPr>
        <w:tc>
          <w:tcPr>
            <w:tcW w:w="3936" w:type="dxa"/>
            <w:tcBorders>
              <w:top w:val="nil"/>
              <w:left w:val="nil"/>
              <w:bottom w:val="single" w:sz="4" w:space="0" w:color="auto"/>
              <w:right w:val="nil"/>
            </w:tcBorders>
            <w:vAlign w:val="center"/>
            <w:hideMark/>
          </w:tcPr>
          <w:p w:rsidR="00AB0B74" w:rsidRDefault="00C265B6">
            <w:pPr>
              <w:jc w:val="center"/>
              <w:rPr>
                <w:rtl/>
              </w:rPr>
            </w:pPr>
            <w:sdt>
              <w:sdtPr>
                <w:rPr>
                  <w:rFonts w:ascii="Times New Roman" w:eastAsia="Times New Roman" w:hAnsi="Times New Roman" w:cs="Times New Roman"/>
                  <w:rtl/>
                </w:rPr>
                <w:alias w:val="MergeField"/>
                <w:tag w:val="2144"/>
                <w:id w:val="-1145497310"/>
              </w:sdtPr>
              <w:sdtEndPr/>
              <w:sdtContent>
                <w:r w:rsidR="00AB0B74">
                  <w:rPr>
                    <w:noProof/>
                  </w:rPr>
                  <w:drawing>
                    <wp:inline distT="0" distB="0" distL="0" distR="0">
                      <wp:extent cx="1933575" cy="5905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33575" cy="590550"/>
                              </a:xfrm>
                              <a:prstGeom prst="rect">
                                <a:avLst/>
                              </a:prstGeom>
                              <a:noFill/>
                              <a:ln>
                                <a:noFill/>
                              </a:ln>
                            </pic:spPr>
                          </pic:pic>
                        </a:graphicData>
                      </a:graphic>
                    </wp:inline>
                  </w:drawing>
                </w:r>
              </w:sdtContent>
            </w:sdt>
          </w:p>
        </w:tc>
      </w:tr>
      <w:tr w:rsidR="00AB0B74" w:rsidTr="00AB0B74">
        <w:trPr>
          <w:trHeight w:val="361"/>
        </w:trPr>
        <w:tc>
          <w:tcPr>
            <w:tcW w:w="3936" w:type="dxa"/>
            <w:tcBorders>
              <w:top w:val="single" w:sz="4" w:space="0" w:color="auto"/>
              <w:left w:val="nil"/>
              <w:bottom w:val="nil"/>
              <w:right w:val="nil"/>
            </w:tcBorders>
            <w:vAlign w:val="center"/>
            <w:hideMark/>
          </w:tcPr>
          <w:p w:rsidR="00AB0B74" w:rsidRDefault="00C265B6">
            <w:pPr>
              <w:jc w:val="center"/>
              <w:rPr>
                <w:b/>
                <w:bCs/>
                <w:rtl/>
              </w:rPr>
            </w:pPr>
            <w:sdt>
              <w:sdtPr>
                <w:rPr>
                  <w:b/>
                  <w:bCs/>
                  <w:rtl/>
                </w:rPr>
                <w:alias w:val="2141"/>
                <w:tag w:val="2141"/>
                <w:id w:val="2119712613"/>
                <w:placeholder>
                  <w:docPart w:val="7900C42F4EA348D9A9461C00403BC4D9"/>
                </w:placeholder>
                <w:text w:multiLine="1"/>
              </w:sdtPr>
              <w:sdtEndPr/>
              <w:sdtContent>
                <w:r w:rsidR="00AB0B74">
                  <w:rPr>
                    <w:b/>
                    <w:bCs/>
                    <w:rtl/>
                  </w:rPr>
                  <w:t>ארז</w:t>
                </w:r>
              </w:sdtContent>
            </w:sdt>
            <w:r w:rsidR="00AB0B74">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2"/>
                <w:tag w:val="2142"/>
                <w:id w:val="-26639521"/>
                <w:placeholder>
                  <w:docPart w:val="1D4356F761DE4EB5AD27AC23350D5CA8"/>
                </w:placeholder>
                <w:text w:multiLine="1"/>
              </w:sdtPr>
              <w:sdtEndPr/>
              <w:sdtContent>
                <w:r w:rsidR="00AB0B74">
                  <w:rPr>
                    <w:rFonts w:ascii="Times New Roman" w:eastAsia="Times New Roman" w:hAnsi="Times New Roman"/>
                    <w:b/>
                    <w:bCs/>
                    <w:rtl/>
                  </w:rPr>
                  <w:t>שני</w:t>
                </w:r>
              </w:sdtContent>
            </w:sdt>
            <w:r w:rsidR="00AB0B74">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3"/>
                <w:tag w:val="2143"/>
                <w:id w:val="1647695366"/>
                <w:placeholder>
                  <w:docPart w:val="D9C7BE74B30D45AD91A8499B1B7EEB6E"/>
                </w:placeholder>
                <w:text w:multiLine="1"/>
              </w:sdtPr>
              <w:sdtEndPr/>
              <w:sdtContent>
                <w:r w:rsidR="00AB0B74">
                  <w:rPr>
                    <w:rFonts w:ascii="Times New Roman" w:eastAsia="Times New Roman" w:hAnsi="Times New Roman"/>
                    <w:b/>
                    <w:bCs/>
                    <w:rtl/>
                  </w:rPr>
                  <w:t>שופט</w:t>
                </w:r>
              </w:sdtContent>
            </w:sdt>
          </w:p>
        </w:tc>
      </w:tr>
    </w:tbl>
    <w:p w:rsidR="00AB0B74" w:rsidRDefault="00AB0B74" w:rsidP="00AB0B74">
      <w:pPr>
        <w:rPr>
          <w:rtl/>
        </w:rPr>
      </w:pPr>
    </w:p>
    <w:p w:rsidR="00AB0B74" w:rsidRDefault="00AB0B74" w:rsidP="00AB0B74">
      <w:pPr>
        <w:rPr>
          <w:rtl/>
        </w:rPr>
      </w:pPr>
    </w:p>
    <w:p w:rsidR="00AB0B74" w:rsidRDefault="00AB0B74" w:rsidP="00AB0B74">
      <w:pPr>
        <w:rPr>
          <w:b/>
          <w:bCs/>
          <w:rtl/>
        </w:rPr>
      </w:pPr>
    </w:p>
    <w:p w:rsidR="00AB0B74" w:rsidRDefault="00AB0B74" w:rsidP="00AB0B74">
      <w:pPr>
        <w:rPr>
          <w:rtl/>
        </w:rPr>
      </w:pPr>
      <w:r>
        <w:rPr>
          <w:rFonts w:hint="cs"/>
          <w:b/>
          <w:bCs/>
          <w:rtl/>
        </w:rPr>
        <w:t>ב"כ הנתבעת</w:t>
      </w:r>
      <w:r>
        <w:rPr>
          <w:rFonts w:hint="cs"/>
          <w:rtl/>
        </w:rPr>
        <w:t>: נבקש לפרוע את התשלום לכונסת בתשלומים.</w:t>
      </w:r>
    </w:p>
    <w:p w:rsidR="00AB0B74" w:rsidRDefault="00AB0B74" w:rsidP="00AB0B74">
      <w:pPr>
        <w:rPr>
          <w:rtl/>
        </w:rPr>
      </w:pPr>
    </w:p>
    <w:p w:rsidR="00AB0B74" w:rsidRDefault="00AB0B74" w:rsidP="00AB0B74">
      <w:pPr>
        <w:rPr>
          <w:rtl/>
        </w:rPr>
      </w:pPr>
    </w:p>
    <w:p w:rsidR="00AB0B74" w:rsidRDefault="00AB0B74" w:rsidP="00AB0B74">
      <w:pPr>
        <w:rPr>
          <w:rtl/>
        </w:rPr>
      </w:pPr>
    </w:p>
    <w:p w:rsidR="00AB0B74" w:rsidRDefault="00AB0B74" w:rsidP="00AB0B74">
      <w:pPr>
        <w:rPr>
          <w:sz w:val="6"/>
          <w:szCs w:val="6"/>
          <w:rtl/>
        </w:rPr>
      </w:pPr>
      <w:r>
        <w:rPr>
          <w:rFonts w:hint="cs"/>
          <w:sz w:val="6"/>
          <w:szCs w:val="6"/>
          <w:rtl/>
        </w:rPr>
        <w:t>&lt;#4#&gt;</w:t>
      </w:r>
    </w:p>
    <w:p w:rsidR="00AB0B74" w:rsidRDefault="00AB0B74" w:rsidP="00AB0B74">
      <w:pPr>
        <w:spacing w:line="360" w:lineRule="auto"/>
        <w:jc w:val="center"/>
        <w:rPr>
          <w:rFonts w:ascii="Arial" w:hAnsi="Arial"/>
          <w:b/>
          <w:bCs/>
          <w:sz w:val="32"/>
          <w:szCs w:val="32"/>
          <w:u w:val="double"/>
          <w:rtl/>
        </w:rPr>
      </w:pPr>
      <w:r>
        <w:rPr>
          <w:rFonts w:ascii="Arial" w:hAnsi="Arial" w:hint="cs"/>
          <w:b/>
          <w:bCs/>
          <w:sz w:val="32"/>
          <w:szCs w:val="32"/>
          <w:u w:val="double"/>
          <w:rtl/>
        </w:rPr>
        <w:t>החלטה</w:t>
      </w:r>
    </w:p>
    <w:p w:rsidR="00AB0B74" w:rsidRDefault="00AB0B74" w:rsidP="00AB0B74">
      <w:pPr>
        <w:spacing w:line="360" w:lineRule="auto"/>
        <w:jc w:val="both"/>
        <w:rPr>
          <w:rtl/>
        </w:rPr>
      </w:pPr>
      <w:r>
        <w:rPr>
          <w:rFonts w:hint="cs"/>
          <w:rtl/>
        </w:rPr>
        <w:t>הכונסת אינה בנק ואם חפצה המשיבה בפריסת תשלומים, תואיל ותשוחח עם הכונסת.</w:t>
      </w:r>
    </w:p>
    <w:p w:rsidR="00AB0B74" w:rsidRDefault="00AB0B74" w:rsidP="00AB0B74">
      <w:pPr>
        <w:spacing w:line="360" w:lineRule="auto"/>
        <w:jc w:val="both"/>
        <w:rPr>
          <w:rtl/>
        </w:rPr>
      </w:pPr>
    </w:p>
    <w:p w:rsidR="00AB0B74" w:rsidRDefault="00AB0B74" w:rsidP="00AB0B74">
      <w:pPr>
        <w:spacing w:line="360" w:lineRule="auto"/>
        <w:jc w:val="both"/>
        <w:rPr>
          <w:sz w:val="6"/>
          <w:szCs w:val="6"/>
          <w:rtl/>
        </w:rPr>
      </w:pPr>
      <w:r>
        <w:rPr>
          <w:rFonts w:hint="cs"/>
          <w:sz w:val="6"/>
          <w:szCs w:val="6"/>
          <w:rtl/>
        </w:rPr>
        <w:t>&lt;#5#&gt;</w:t>
      </w:r>
    </w:p>
    <w:p w:rsidR="00AB0B74" w:rsidRDefault="00AB0B74" w:rsidP="00AB0B74">
      <w:pPr>
        <w:spacing w:line="360" w:lineRule="auto"/>
        <w:rPr>
          <w:rtl/>
        </w:rPr>
      </w:pPr>
      <w:r>
        <w:rPr>
          <w:rFonts w:hint="cs"/>
          <w:b/>
          <w:bCs/>
          <w:rtl/>
        </w:rPr>
        <w:t xml:space="preserve">ניתנה והודעה היום </w:t>
      </w:r>
      <w:sdt>
        <w:sdtPr>
          <w:rPr>
            <w:rFonts w:hint="cs"/>
            <w:rtl/>
          </w:rPr>
          <w:alias w:val="2207"/>
          <w:tag w:val="2207"/>
          <w:id w:val="39870574"/>
          <w:text w:multiLine="1"/>
        </w:sdtPr>
        <w:sdtEndPr/>
        <w:sdtContent>
          <w:r>
            <w:rPr>
              <w:rFonts w:hint="cs"/>
              <w:b/>
              <w:bCs/>
              <w:rtl/>
            </w:rPr>
            <w:t>ג' חשוון תשפ"ה</w:t>
          </w:r>
        </w:sdtContent>
      </w:sdt>
      <w:r>
        <w:rPr>
          <w:rFonts w:hint="cs"/>
          <w:b/>
          <w:bCs/>
          <w:rtl/>
        </w:rPr>
        <w:t xml:space="preserve">, </w:t>
      </w:r>
      <w:sdt>
        <w:sdtPr>
          <w:rPr>
            <w:rFonts w:hint="cs"/>
            <w:rtl/>
          </w:rPr>
          <w:alias w:val="2206"/>
          <w:tag w:val="2206"/>
          <w:id w:val="-1342696967"/>
          <w:text w:multiLine="1"/>
        </w:sdtPr>
        <w:sdtEndPr/>
        <w:sdtContent>
          <w:r>
            <w:rPr>
              <w:rFonts w:hint="cs"/>
              <w:b/>
              <w:bCs/>
            </w:rPr>
            <w:t>04/11/2024</w:t>
          </w:r>
        </w:sdtContent>
      </w:sdt>
      <w:r>
        <w:rPr>
          <w:rFonts w:hint="cs"/>
          <w:b/>
          <w:bCs/>
          <w:rtl/>
        </w:rPr>
        <w:t xml:space="preserve"> במעמד הנוכחים.</w:t>
      </w:r>
    </w:p>
    <w:p w:rsidR="009112ED" w:rsidRDefault="009112ED"/>
    <w:sectPr w:rsidR="009112ED" w:rsidSect="006F56D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72F44"/>
    <w:multiLevelType w:val="hybridMultilevel"/>
    <w:tmpl w:val="2F94A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B74"/>
    <w:rsid w:val="000A4188"/>
    <w:rsid w:val="005E4F8B"/>
    <w:rsid w:val="006F56DF"/>
    <w:rsid w:val="00887722"/>
    <w:rsid w:val="009112ED"/>
    <w:rsid w:val="009E4F03"/>
    <w:rsid w:val="00AB0B74"/>
    <w:rsid w:val="00C265B6"/>
    <w:rsid w:val="00FD7A7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892257-E105-4047-8DE2-ABF40EAC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B74"/>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B74"/>
    <w:pPr>
      <w:ind w:left="720"/>
      <w:contextualSpacing/>
    </w:pPr>
  </w:style>
  <w:style w:type="table" w:styleId="a4">
    <w:name w:val="Table Grid"/>
    <w:basedOn w:val="a1"/>
    <w:rsid w:val="00AB0B7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AB0B74"/>
    <w:pPr>
      <w:tabs>
        <w:tab w:val="center" w:pos="4153"/>
        <w:tab w:val="right" w:pos="8306"/>
      </w:tabs>
    </w:pPr>
  </w:style>
  <w:style w:type="character" w:customStyle="1" w:styleId="a6">
    <w:name w:val="כותרת עליונה תו"/>
    <w:basedOn w:val="a0"/>
    <w:link w:val="a5"/>
    <w:semiHidden/>
    <w:rsid w:val="00AB0B74"/>
    <w:rPr>
      <w:rFonts w:ascii="David" w:eastAsia="David" w:hAnsi="David" w:cs="David"/>
      <w:sz w:val="24"/>
      <w:szCs w:val="24"/>
    </w:rPr>
  </w:style>
  <w:style w:type="paragraph" w:customStyle="1" w:styleId="12">
    <w:name w:val="רגיל + ‏12 נק'"/>
    <w:aliases w:val="מיושר לשני הצדדים,מרווח בין שורות:  שורה וחצי"/>
    <w:basedOn w:val="a"/>
    <w:rsid w:val="00AB0B74"/>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620183">
      <w:bodyDiv w:val="1"/>
      <w:marLeft w:val="0"/>
      <w:marRight w:val="0"/>
      <w:marTop w:val="0"/>
      <w:marBottom w:val="0"/>
      <w:divBdr>
        <w:top w:val="none" w:sz="0" w:space="0" w:color="auto"/>
        <w:left w:val="none" w:sz="0" w:space="0" w:color="auto"/>
        <w:bottom w:val="none" w:sz="0" w:space="0" w:color="auto"/>
        <w:right w:val="none" w:sz="0" w:space="0" w:color="auto"/>
      </w:divBdr>
    </w:div>
    <w:div w:id="140761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00C42F4EA348D9A9461C00403BC4D9"/>
        <w:category>
          <w:name w:val="כללי"/>
          <w:gallery w:val="placeholder"/>
        </w:category>
        <w:types>
          <w:type w:val="bbPlcHdr"/>
        </w:types>
        <w:behaviors>
          <w:behavior w:val="content"/>
        </w:behaviors>
        <w:guid w:val="{FB944DEF-4018-4DC3-AA82-BF567F43DED2}"/>
      </w:docPartPr>
      <w:docPartBody>
        <w:p w:rsidR="00163827" w:rsidRDefault="006B0FC7" w:rsidP="006B0FC7">
          <w:pPr>
            <w:pStyle w:val="7900C42F4EA348D9A9461C00403BC4D9"/>
          </w:pPr>
          <w:r>
            <w:rPr>
              <w:rFonts w:cs="David"/>
              <w:b/>
              <w:bCs/>
              <w:rtl/>
            </w:rPr>
            <w:t>שם פרטי חותם</w:t>
          </w:r>
        </w:p>
      </w:docPartBody>
    </w:docPart>
    <w:docPart>
      <w:docPartPr>
        <w:name w:val="1D4356F761DE4EB5AD27AC23350D5CA8"/>
        <w:category>
          <w:name w:val="כללי"/>
          <w:gallery w:val="placeholder"/>
        </w:category>
        <w:types>
          <w:type w:val="bbPlcHdr"/>
        </w:types>
        <w:behaviors>
          <w:behavior w:val="content"/>
        </w:behaviors>
        <w:guid w:val="{50227CF9-B9D2-4B4D-8221-202E064CB57D}"/>
      </w:docPartPr>
      <w:docPartBody>
        <w:p w:rsidR="00163827" w:rsidRDefault="006B0FC7" w:rsidP="006B0FC7">
          <w:pPr>
            <w:pStyle w:val="1D4356F761DE4EB5AD27AC23350D5CA8"/>
          </w:pPr>
          <w:r>
            <w:rPr>
              <w:rFonts w:cs="David"/>
              <w:b/>
              <w:bCs/>
              <w:rtl/>
            </w:rPr>
            <w:t>שם משפחה חותם</w:t>
          </w:r>
        </w:p>
      </w:docPartBody>
    </w:docPart>
    <w:docPart>
      <w:docPartPr>
        <w:name w:val="D9C7BE74B30D45AD91A8499B1B7EEB6E"/>
        <w:category>
          <w:name w:val="כללי"/>
          <w:gallery w:val="placeholder"/>
        </w:category>
        <w:types>
          <w:type w:val="bbPlcHdr"/>
        </w:types>
        <w:behaviors>
          <w:behavior w:val="content"/>
        </w:behaviors>
        <w:guid w:val="{33784D6E-05AF-4827-A08A-7C710287D368}"/>
      </w:docPartPr>
      <w:docPartBody>
        <w:p w:rsidR="00163827" w:rsidRDefault="006B0FC7" w:rsidP="006B0FC7">
          <w:pPr>
            <w:pStyle w:val="D9C7BE74B30D45AD91A8499B1B7EEB6E"/>
          </w:pPr>
          <w:r>
            <w:rPr>
              <w:rFonts w:cs="David"/>
              <w:b/>
              <w:bCs/>
              <w:rtl/>
            </w:rPr>
            <w:t>מעמד חותם</w:t>
          </w:r>
        </w:p>
      </w:docPartBody>
    </w:docPart>
    <w:docPart>
      <w:docPartPr>
        <w:name w:val="A9885C594C2F43CBAEDF5A9EF85C4743"/>
        <w:category>
          <w:name w:val="כללי"/>
          <w:gallery w:val="placeholder"/>
        </w:category>
        <w:types>
          <w:type w:val="bbPlcHdr"/>
        </w:types>
        <w:behaviors>
          <w:behavior w:val="content"/>
        </w:behaviors>
        <w:guid w:val="{C25A8E89-1270-4C29-ACAC-DE3565D6B073}"/>
      </w:docPartPr>
      <w:docPartBody>
        <w:p w:rsidR="00163827" w:rsidRDefault="006B0FC7" w:rsidP="006B0FC7">
          <w:pPr>
            <w:pStyle w:val="A9885C594C2F43CBAEDF5A9EF85C4743"/>
          </w:pPr>
          <w:r>
            <w:rPr>
              <w:b/>
              <w:bCs/>
              <w:rtl/>
            </w:rPr>
            <w:t>תאור קבוצת שיכות צד א'</w:t>
          </w:r>
        </w:p>
      </w:docPartBody>
    </w:docPart>
    <w:docPart>
      <w:docPartPr>
        <w:name w:val="CCE4BD7C77EF4CE685CC1288A5416D67"/>
        <w:category>
          <w:name w:val="כללי"/>
          <w:gallery w:val="placeholder"/>
        </w:category>
        <w:types>
          <w:type w:val="bbPlcHdr"/>
        </w:types>
        <w:behaviors>
          <w:behavior w:val="content"/>
        </w:behaviors>
        <w:guid w:val="{F51F35A4-C0C4-43DF-909F-A7E7E2BF0EDD}"/>
      </w:docPartPr>
      <w:docPartBody>
        <w:p w:rsidR="00163827" w:rsidRDefault="006B0FC7" w:rsidP="006B0FC7">
          <w:pPr>
            <w:pStyle w:val="CCE4BD7C77EF4CE685CC1288A5416D67"/>
          </w:pPr>
          <w:r>
            <w:rPr>
              <w:b/>
              <w:bCs/>
              <w:rtl/>
            </w:rPr>
            <w:t>סוג זיהוי צד א</w:t>
          </w:r>
        </w:p>
      </w:docPartBody>
    </w:docPart>
    <w:docPart>
      <w:docPartPr>
        <w:name w:val="8918806786E145BBBFC2CBD517CC197F"/>
        <w:category>
          <w:name w:val="כללי"/>
          <w:gallery w:val="placeholder"/>
        </w:category>
        <w:types>
          <w:type w:val="bbPlcHdr"/>
        </w:types>
        <w:behaviors>
          <w:behavior w:val="content"/>
        </w:behaviors>
        <w:guid w:val="{50F492D5-8055-49B6-8689-6028160FDE4C}"/>
      </w:docPartPr>
      <w:docPartBody>
        <w:p w:rsidR="00163827" w:rsidRDefault="006B0FC7" w:rsidP="006B0FC7">
          <w:pPr>
            <w:pStyle w:val="8918806786E145BBBFC2CBD517CC197F"/>
          </w:pPr>
          <w:r>
            <w:rPr>
              <w:b/>
              <w:bCs/>
              <w:rtl/>
            </w:rPr>
            <w:t>מספר זיהוי צד א</w:t>
          </w:r>
        </w:p>
      </w:docPartBody>
    </w:docPart>
    <w:docPart>
      <w:docPartPr>
        <w:name w:val="317027127C584E3B8A97D32C9C920725"/>
        <w:category>
          <w:name w:val="כללי"/>
          <w:gallery w:val="placeholder"/>
        </w:category>
        <w:types>
          <w:type w:val="bbPlcHdr"/>
        </w:types>
        <w:behaviors>
          <w:behavior w:val="content"/>
        </w:behaviors>
        <w:guid w:val="{8162EFF0-B90E-45AA-8D30-00DB7E6A82CC}"/>
      </w:docPartPr>
      <w:docPartBody>
        <w:p w:rsidR="00163827" w:rsidRDefault="006B0FC7" w:rsidP="006B0FC7">
          <w:pPr>
            <w:pStyle w:val="317027127C584E3B8A97D32C9C920725"/>
          </w:pPr>
          <w:r>
            <w:rPr>
              <w:b/>
              <w:bCs/>
              <w:rtl/>
            </w:rPr>
            <w:t>מספר מעמד צד ב'</w:t>
          </w:r>
        </w:p>
      </w:docPartBody>
    </w:docPart>
    <w:docPart>
      <w:docPartPr>
        <w:name w:val="4C85D01E7DF04E538FF7649380DC613B"/>
        <w:category>
          <w:name w:val="כללי"/>
          <w:gallery w:val="placeholder"/>
        </w:category>
        <w:types>
          <w:type w:val="bbPlcHdr"/>
        </w:types>
        <w:behaviors>
          <w:behavior w:val="content"/>
        </w:behaviors>
        <w:guid w:val="{CB0BBC32-4C6A-49B9-9ED2-2C16F2CAAFFB}"/>
      </w:docPartPr>
      <w:docPartBody>
        <w:p w:rsidR="00163827" w:rsidRDefault="006B0FC7" w:rsidP="006B0FC7">
          <w:pPr>
            <w:pStyle w:val="4C85D01E7DF04E538FF7649380DC613B"/>
          </w:pPr>
          <w:r>
            <w:rPr>
              <w:b/>
              <w:bCs/>
              <w:rtl/>
            </w:rPr>
            <w:t>שם צד ב'</w:t>
          </w:r>
        </w:p>
      </w:docPartBody>
    </w:docPart>
    <w:docPart>
      <w:docPartPr>
        <w:name w:val="CF18ECB115F94CEC9B99A2F05A423BDE"/>
        <w:category>
          <w:name w:val="כללי"/>
          <w:gallery w:val="placeholder"/>
        </w:category>
        <w:types>
          <w:type w:val="bbPlcHdr"/>
        </w:types>
        <w:behaviors>
          <w:behavior w:val="content"/>
        </w:behaviors>
        <w:guid w:val="{61B52A4E-1163-41D9-9985-E3D19D702D54}"/>
      </w:docPartPr>
      <w:docPartBody>
        <w:p w:rsidR="00163827" w:rsidRDefault="006B0FC7" w:rsidP="006B0FC7">
          <w:pPr>
            <w:pStyle w:val="CF18ECB115F94CEC9B99A2F05A423BDE"/>
          </w:pPr>
          <w:r>
            <w:rPr>
              <w:b/>
              <w:bCs/>
              <w:rtl/>
            </w:rPr>
            <w:t>סוג זיהוי צד ב</w:t>
          </w:r>
        </w:p>
      </w:docPartBody>
    </w:docPart>
    <w:docPart>
      <w:docPartPr>
        <w:name w:val="11EFCF03D0864AA788CCB98FB45DB577"/>
        <w:category>
          <w:name w:val="כללי"/>
          <w:gallery w:val="placeholder"/>
        </w:category>
        <w:types>
          <w:type w:val="bbPlcHdr"/>
        </w:types>
        <w:behaviors>
          <w:behavior w:val="content"/>
        </w:behaviors>
        <w:guid w:val="{94FE393A-8C06-499E-A954-42BDEEA68B3F}"/>
      </w:docPartPr>
      <w:docPartBody>
        <w:p w:rsidR="00163827" w:rsidRDefault="006B0FC7" w:rsidP="006B0FC7">
          <w:pPr>
            <w:pStyle w:val="11EFCF03D0864AA788CCB98FB45DB577"/>
          </w:pPr>
          <w:r>
            <w:rPr>
              <w:b/>
              <w:bCs/>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FC7"/>
    <w:rsid w:val="00163827"/>
    <w:rsid w:val="004620A9"/>
    <w:rsid w:val="006B0FC7"/>
    <w:rsid w:val="00C23C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900C42F4EA348D9A9461C00403BC4D9">
    <w:name w:val="7900C42F4EA348D9A9461C00403BC4D9"/>
    <w:rsid w:val="006B0FC7"/>
    <w:pPr>
      <w:bidi/>
    </w:pPr>
  </w:style>
  <w:style w:type="paragraph" w:customStyle="1" w:styleId="1D4356F761DE4EB5AD27AC23350D5CA8">
    <w:name w:val="1D4356F761DE4EB5AD27AC23350D5CA8"/>
    <w:rsid w:val="006B0FC7"/>
    <w:pPr>
      <w:bidi/>
    </w:pPr>
  </w:style>
  <w:style w:type="paragraph" w:customStyle="1" w:styleId="D9C7BE74B30D45AD91A8499B1B7EEB6E">
    <w:name w:val="D9C7BE74B30D45AD91A8499B1B7EEB6E"/>
    <w:rsid w:val="006B0FC7"/>
    <w:pPr>
      <w:bidi/>
    </w:pPr>
  </w:style>
  <w:style w:type="paragraph" w:customStyle="1" w:styleId="A9885C594C2F43CBAEDF5A9EF85C4743">
    <w:name w:val="A9885C594C2F43CBAEDF5A9EF85C4743"/>
    <w:rsid w:val="006B0FC7"/>
    <w:pPr>
      <w:bidi/>
    </w:pPr>
  </w:style>
  <w:style w:type="paragraph" w:customStyle="1" w:styleId="D40B0AF8C0B94C61AD71A773BFFB9DC0">
    <w:name w:val="D40B0AF8C0B94C61AD71A773BFFB9DC0"/>
    <w:rsid w:val="006B0FC7"/>
    <w:pPr>
      <w:bidi/>
    </w:pPr>
  </w:style>
  <w:style w:type="paragraph" w:customStyle="1" w:styleId="CCE4BD7C77EF4CE685CC1288A5416D67">
    <w:name w:val="CCE4BD7C77EF4CE685CC1288A5416D67"/>
    <w:rsid w:val="006B0FC7"/>
    <w:pPr>
      <w:bidi/>
    </w:pPr>
  </w:style>
  <w:style w:type="paragraph" w:customStyle="1" w:styleId="8918806786E145BBBFC2CBD517CC197F">
    <w:name w:val="8918806786E145BBBFC2CBD517CC197F"/>
    <w:rsid w:val="006B0FC7"/>
    <w:pPr>
      <w:bidi/>
    </w:pPr>
  </w:style>
  <w:style w:type="paragraph" w:customStyle="1" w:styleId="317027127C584E3B8A97D32C9C920725">
    <w:name w:val="317027127C584E3B8A97D32C9C920725"/>
    <w:rsid w:val="006B0FC7"/>
    <w:pPr>
      <w:bidi/>
    </w:pPr>
  </w:style>
  <w:style w:type="paragraph" w:customStyle="1" w:styleId="4C85D01E7DF04E538FF7649380DC613B">
    <w:name w:val="4C85D01E7DF04E538FF7649380DC613B"/>
    <w:rsid w:val="006B0FC7"/>
    <w:pPr>
      <w:bidi/>
    </w:pPr>
  </w:style>
  <w:style w:type="paragraph" w:customStyle="1" w:styleId="CF18ECB115F94CEC9B99A2F05A423BDE">
    <w:name w:val="CF18ECB115F94CEC9B99A2F05A423BDE"/>
    <w:rsid w:val="006B0FC7"/>
    <w:pPr>
      <w:bidi/>
    </w:pPr>
  </w:style>
  <w:style w:type="paragraph" w:customStyle="1" w:styleId="11EFCF03D0864AA788CCB98FB45DB577">
    <w:name w:val="11EFCF03D0864AA788CCB98FB45DB577"/>
    <w:rsid w:val="006B0FC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3620</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אורן בראל</dc:creator>
  <cp:keywords/>
  <dc:description/>
  <cp:lastModifiedBy>גרמאו מנגיסטו</cp:lastModifiedBy>
  <cp:revision>2</cp:revision>
  <dcterms:created xsi:type="dcterms:W3CDTF">2024-11-10T08:23:00Z</dcterms:created>
  <dcterms:modified xsi:type="dcterms:W3CDTF">2024-11-10T08:23:00Z</dcterms:modified>
</cp:coreProperties>
</file>